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C42A9" w:rsidRDefault="008C42A9" w:rsidP="00815E88">
      <w:pPr>
        <w:rPr>
          <w:lang w:val="en-US"/>
        </w:rPr>
      </w:pPr>
    </w:p>
    <w:p w:rsidR="00811CF5" w:rsidRPr="007D6D5F" w:rsidRDefault="00811CF5" w:rsidP="00815E88">
      <w:pPr>
        <w:rPr>
          <w:lang w:val="en-US"/>
        </w:rPr>
      </w:pPr>
    </w:p>
    <w:p w:rsidR="00AC7093" w:rsidRDefault="00AC7093" w:rsidP="00AC7093">
      <w:pPr>
        <w:rPr>
          <w:i/>
        </w:rPr>
      </w:pPr>
      <w:r w:rsidRPr="001E00C7">
        <w:rPr>
          <w:i/>
        </w:rPr>
        <w:t>Ky mjet ka për q</w:t>
      </w:r>
      <w:r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>
        <w:rPr>
          <w:i/>
        </w:rPr>
        <w:t>e</w:t>
      </w:r>
      <w:r w:rsidRPr="001E00C7">
        <w:rPr>
          <w:i/>
        </w:rPr>
        <w:t>se</w:t>
      </w:r>
      <w:r>
        <w:rPr>
          <w:i/>
        </w:rPr>
        <w:t xml:space="preserve"> (shembuj), gjatë procesit të vl</w:t>
      </w:r>
      <w:r w:rsidR="007D6D5F">
        <w:rPr>
          <w:i/>
        </w:rPr>
        <w:t>erësimit të riskut.</w:t>
      </w:r>
    </w:p>
    <w:p w:rsidR="00D31BC6" w:rsidRDefault="00AC7093" w:rsidP="00490F7E">
      <w:pPr>
        <w:rPr>
          <w:i/>
        </w:rPr>
      </w:pPr>
      <w:r>
        <w:rPr>
          <w:i/>
        </w:rPr>
        <w:t>Referuar nga Agjencia Europiane për Siguri dhe Shëndetin në Punë  (</w:t>
      </w:r>
      <w:hyperlink r:id="rId9" w:history="1">
        <w:r w:rsidRPr="00283378">
          <w:rPr>
            <w:rStyle w:val="Hyperlink"/>
            <w:i/>
          </w:rPr>
          <w:t>https://osha.europa.eu/en</w:t>
        </w:r>
      </w:hyperlink>
      <w:r>
        <w:rPr>
          <w:i/>
        </w:rPr>
        <w:t xml:space="preserve">). </w:t>
      </w:r>
    </w:p>
    <w:p w:rsidR="00811CF5" w:rsidRDefault="00811CF5" w:rsidP="00490F7E">
      <w:pPr>
        <w:rPr>
          <w:i/>
        </w:rPr>
      </w:pPr>
    </w:p>
    <w:p w:rsidR="00811CF5" w:rsidRDefault="00811CF5" w:rsidP="00490F7E">
      <w:pPr>
        <w:rPr>
          <w:i/>
        </w:rPr>
      </w:pPr>
    </w:p>
    <w:p w:rsidR="00811CF5" w:rsidRPr="00811CF5" w:rsidRDefault="00811CF5" w:rsidP="00490F7E">
      <w:pPr>
        <w:rPr>
          <w:i/>
        </w:rPr>
      </w:pPr>
    </w:p>
    <w:p w:rsidR="00096922" w:rsidRDefault="00096922" w:rsidP="00490F7E">
      <w:pPr>
        <w:rPr>
          <w:b/>
          <w:color w:val="2683C6" w:themeColor="accent2"/>
        </w:rPr>
      </w:pPr>
      <w:r>
        <w:rPr>
          <w:b/>
          <w:color w:val="2683C6" w:themeColor="accent2"/>
        </w:rPr>
        <w:t>PJESA I: A EGZISTON RREZIKU NË VENDIN E PUNËS?</w:t>
      </w:r>
    </w:p>
    <w:p w:rsidR="00096922" w:rsidRDefault="00096922" w:rsidP="00490F7E">
      <w:pPr>
        <w:rPr>
          <w:b/>
          <w:color w:val="2683C6" w:themeColor="accen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096922" w:rsidTr="00096922">
        <w:tc>
          <w:tcPr>
            <w:tcW w:w="755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  <w:r>
              <w:rPr>
                <w:b/>
                <w:color w:val="2683C6" w:themeColor="accent2"/>
              </w:rPr>
              <w:t>PYETJE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  <w:r>
              <w:rPr>
                <w:b/>
                <w:color w:val="2683C6" w:themeColor="accent2"/>
              </w:rPr>
              <w:t>PO</w:t>
            </w: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  <w:r>
              <w:rPr>
                <w:b/>
                <w:color w:val="2683C6" w:themeColor="accent2"/>
              </w:rPr>
              <w:t>JO</w:t>
            </w: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kanë dyshemetë zona të pabarabarta, përfundime të mbetura, vrima, derdhje etj.?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2683C6" w:themeColor="accent2"/>
              </w:rPr>
            </w:pPr>
            <w:r w:rsidRPr="00CC3EC3">
              <w:rPr>
                <w:color w:val="000000" w:themeColor="text1"/>
              </w:rPr>
              <w:t>A janë dyshemetë ndonjëherë të rrëshqitshme, p.sh. kur janë të lagura për shkak të pastrimit, derdhjes së lëngjeve (p.sh. vajit), shiut ose baltës ose pluhurit për shkak të proceseve të punës?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ka pragje apo ndryshime të tjera të nivelit në dysheme?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ka kabllo pasuese në dysheme?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mund të bien ose të rrëshqasin punëtorët për shkak të këpucëve të papërshtatshme?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096922" w:rsidTr="00096922">
        <w:tc>
          <w:tcPr>
            <w:tcW w:w="7555" w:type="dxa"/>
          </w:tcPr>
          <w:p w:rsidR="00096922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mbahen dyshemetë të rregullta?</w:t>
            </w:r>
          </w:p>
        </w:tc>
        <w:tc>
          <w:tcPr>
            <w:tcW w:w="900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096922" w:rsidRDefault="00096922" w:rsidP="00490F7E">
            <w:pPr>
              <w:rPr>
                <w:b/>
                <w:color w:val="2683C6" w:themeColor="accent2"/>
              </w:rPr>
            </w:pPr>
          </w:p>
        </w:tc>
      </w:tr>
      <w:tr w:rsidR="00CC3EC3" w:rsidTr="00096922">
        <w:tc>
          <w:tcPr>
            <w:tcW w:w="7555" w:type="dxa"/>
          </w:tcPr>
          <w:p w:rsidR="00CC3EC3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ka pengesa dhe objekte (me përjashtim të atyre që nuk mund të hiqen) të mbetura të shtrira në zonat e punës?</w:t>
            </w:r>
          </w:p>
        </w:tc>
        <w:tc>
          <w:tcPr>
            <w:tcW w:w="900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</w:tr>
      <w:tr w:rsidR="00CC3EC3" w:rsidTr="00096922">
        <w:tc>
          <w:tcPr>
            <w:tcW w:w="7555" w:type="dxa"/>
          </w:tcPr>
          <w:p w:rsidR="00CC3EC3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janë të shënuara pengesat që nuk mund të hiqen?</w:t>
            </w:r>
          </w:p>
        </w:tc>
        <w:tc>
          <w:tcPr>
            <w:tcW w:w="900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</w:tr>
      <w:tr w:rsidR="00CC3EC3" w:rsidTr="00096922">
        <w:tc>
          <w:tcPr>
            <w:tcW w:w="7555" w:type="dxa"/>
          </w:tcPr>
          <w:p w:rsidR="00CC3EC3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janë të gjitha rrugët e trafikut të shënuara siç duhet?</w:t>
            </w:r>
          </w:p>
        </w:tc>
        <w:tc>
          <w:tcPr>
            <w:tcW w:w="900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</w:tr>
      <w:tr w:rsidR="00CC3EC3" w:rsidTr="00096922">
        <w:tc>
          <w:tcPr>
            <w:tcW w:w="7555" w:type="dxa"/>
          </w:tcPr>
          <w:p w:rsidR="00CC3EC3" w:rsidRPr="00CC3EC3" w:rsidRDefault="00CC3EC3" w:rsidP="00490F7E">
            <w:pPr>
              <w:rPr>
                <w:color w:val="000000" w:themeColor="text1"/>
              </w:rPr>
            </w:pPr>
            <w:r w:rsidRPr="00CC3EC3">
              <w:rPr>
                <w:color w:val="000000" w:themeColor="text1"/>
              </w:rPr>
              <w:t>A është i përshtatshëm ndriçimi i dyshemeve dhe i rrugëve të trafikut?</w:t>
            </w:r>
          </w:p>
        </w:tc>
        <w:tc>
          <w:tcPr>
            <w:tcW w:w="900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  <w:tc>
          <w:tcPr>
            <w:tcW w:w="895" w:type="dxa"/>
          </w:tcPr>
          <w:p w:rsidR="00CC3EC3" w:rsidRDefault="00CC3EC3" w:rsidP="00490F7E">
            <w:pPr>
              <w:rPr>
                <w:b/>
                <w:color w:val="2683C6" w:themeColor="accent2"/>
              </w:rPr>
            </w:pPr>
          </w:p>
        </w:tc>
      </w:tr>
    </w:tbl>
    <w:p w:rsidR="00096922" w:rsidRDefault="00096922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Default="00811CF5" w:rsidP="00490F7E">
      <w:pPr>
        <w:rPr>
          <w:b/>
          <w:color w:val="2683C6" w:themeColor="accent2"/>
        </w:rPr>
      </w:pPr>
    </w:p>
    <w:p w:rsidR="00811CF5" w:rsidRPr="00490F7E" w:rsidRDefault="00811CF5" w:rsidP="00490F7E">
      <w:pPr>
        <w:rPr>
          <w:b/>
          <w:color w:val="2683C6" w:themeColor="accent2"/>
        </w:rPr>
      </w:pPr>
    </w:p>
    <w:p w:rsidR="00490F7E" w:rsidRPr="00CC3EC3" w:rsidRDefault="00CC3EC3" w:rsidP="00AC3E27">
      <w:pPr>
        <w:rPr>
          <w:b/>
          <w:color w:val="2683C6" w:themeColor="accent2"/>
        </w:rPr>
      </w:pPr>
      <w:r w:rsidRPr="00CC3EC3">
        <w:rPr>
          <w:b/>
          <w:color w:val="2683C6" w:themeColor="accent2"/>
        </w:rPr>
        <w:t xml:space="preserve">PJESA II: SHEMBUJ TË MASAVE PARANDALUESE QË MUND TË PËRDOREN PËR TË REDUKTUAR RREZIKUN </w:t>
      </w:r>
    </w:p>
    <w:p w:rsidR="00AC3E27" w:rsidRDefault="00AC3E27" w:rsidP="00AC3E27">
      <w:pPr>
        <w:rPr>
          <w:b/>
        </w:rPr>
      </w:pPr>
    </w:p>
    <w:p w:rsidR="00CC3EC3" w:rsidRDefault="00E51276" w:rsidP="00E53553">
      <w:pPr>
        <w:pStyle w:val="ListParagraph"/>
        <w:numPr>
          <w:ilvl w:val="0"/>
          <w:numId w:val="6"/>
        </w:numPr>
      </w:pPr>
      <w:r>
        <w:t>Të bëhet p</w:t>
      </w:r>
      <w:r w:rsidR="00CC3EC3" w:rsidRPr="00E51276">
        <w:t>ërzgjedhja e dyshemesë me kujdes, veçanërisht nëse ka gjasa të laget ose pluhuroset për shkak të proceseve të punës; mbajtja e sipërfaqeve të thata</w:t>
      </w:r>
      <w:r>
        <w:t>.</w:t>
      </w:r>
    </w:p>
    <w:p w:rsidR="00E51276" w:rsidRDefault="00E51276" w:rsidP="00E53553">
      <w:pPr>
        <w:pStyle w:val="ListParagraph"/>
        <w:numPr>
          <w:ilvl w:val="0"/>
          <w:numId w:val="6"/>
        </w:numPr>
      </w:pPr>
      <w:r w:rsidRPr="00E51276">
        <w:t>Nëse është e nevojshme</w:t>
      </w:r>
      <w:r>
        <w:t xml:space="preserve"> të bëhet</w:t>
      </w:r>
      <w:r w:rsidRPr="00E51276">
        <w:t>, trajtimi kimik i sipërfaqeve të rrëshqitshme; duke përdorur metoda të përshtatshme pastrimi.</w:t>
      </w:r>
    </w:p>
    <w:p w:rsidR="00AC3E27" w:rsidRDefault="00E51276" w:rsidP="00E53553">
      <w:pPr>
        <w:pStyle w:val="ListParagraph"/>
        <w:numPr>
          <w:ilvl w:val="0"/>
          <w:numId w:val="6"/>
        </w:numPr>
      </w:pPr>
      <w:r w:rsidRPr="00E51276">
        <w:t>Sigurimi i kontrollit të rregullt të dyshemesë dhe rrugëve të trafikut.</w:t>
      </w:r>
    </w:p>
    <w:p w:rsidR="00E51276" w:rsidRDefault="00E53553" w:rsidP="00E53553">
      <w:pPr>
        <w:pStyle w:val="ListParagraph"/>
        <w:numPr>
          <w:ilvl w:val="0"/>
          <w:numId w:val="6"/>
        </w:numPr>
      </w:pPr>
      <w:r w:rsidRPr="00E53553">
        <w:t>Heqja e vrimave, çarjeve, qil</w:t>
      </w:r>
      <w:r>
        <w:t>imave të konsumuara, etj.; duke mbajtur të pastra</w:t>
      </w:r>
      <w:r w:rsidRPr="00E53553">
        <w:t xml:space="preserve"> dyshemetë dhe rrugët e trafikut.</w:t>
      </w:r>
    </w:p>
    <w:p w:rsidR="00E53553" w:rsidRDefault="00E53553" w:rsidP="00E53553">
      <w:pPr>
        <w:pStyle w:val="ListParagraph"/>
        <w:numPr>
          <w:ilvl w:val="0"/>
          <w:numId w:val="6"/>
        </w:numPr>
      </w:pPr>
      <w:r w:rsidRPr="00E53553">
        <w:t>Heqja e pragjeve ose kufizimi i lartësisë së tyre; duke përmirësuar dukshmërinë e tyre</w:t>
      </w:r>
      <w:r>
        <w:t>.</w:t>
      </w:r>
    </w:p>
    <w:p w:rsidR="00E53553" w:rsidRDefault="00E53553" w:rsidP="00E53553">
      <w:pPr>
        <w:pStyle w:val="ListParagraph"/>
        <w:numPr>
          <w:ilvl w:val="0"/>
          <w:numId w:val="6"/>
        </w:numPr>
      </w:pPr>
      <w:r w:rsidRPr="00E53553">
        <w:t>Sigurimi i punëtorëve me këpucë të përshtatshme</w:t>
      </w:r>
      <w:r>
        <w:t>.</w:t>
      </w:r>
    </w:p>
    <w:p w:rsidR="00E53553" w:rsidRDefault="00E53553" w:rsidP="00E53553">
      <w:pPr>
        <w:pStyle w:val="ListParagraph"/>
        <w:numPr>
          <w:ilvl w:val="0"/>
          <w:numId w:val="6"/>
        </w:numPr>
      </w:pPr>
      <w:r w:rsidRPr="00E53553">
        <w:t>Sigurimi që kat</w:t>
      </w:r>
      <w:r>
        <w:t>et dhe rrugët e trafikut janë</w:t>
      </w:r>
      <w:r w:rsidRPr="00E53553">
        <w:t xml:space="preserve"> shënuara </w:t>
      </w:r>
      <w:r>
        <w:t xml:space="preserve">në mënyrë </w:t>
      </w:r>
      <w:r w:rsidRPr="00E53553">
        <w:t>të përshtatshme.</w:t>
      </w:r>
    </w:p>
    <w:p w:rsidR="00E53553" w:rsidRDefault="00E53553" w:rsidP="00E53553">
      <w:pPr>
        <w:pStyle w:val="ListParagraph"/>
        <w:numPr>
          <w:ilvl w:val="0"/>
          <w:numId w:val="6"/>
        </w:numPr>
      </w:pPr>
      <w:r w:rsidRPr="00E53553">
        <w:t>Sigurimi i ndriçimit adekuat të dyshemeve dhe rrugëve të trafikut.</w:t>
      </w:r>
    </w:p>
    <w:p w:rsidR="00AC3E27" w:rsidRDefault="00E53553" w:rsidP="00E53553">
      <w:pPr>
        <w:pStyle w:val="ListParagraph"/>
        <w:numPr>
          <w:ilvl w:val="0"/>
          <w:numId w:val="6"/>
        </w:numPr>
      </w:pPr>
      <w:r w:rsidRPr="00E53553">
        <w:t>Pozicionimi i pajisjeve në mënyrë që të shmanget kalimi i ka</w:t>
      </w:r>
      <w:r>
        <w:t>bllove në rrugët e këmbësorëve.</w:t>
      </w:r>
    </w:p>
    <w:p w:rsidR="00E53553" w:rsidRPr="00E53553" w:rsidRDefault="00E53553" w:rsidP="00E53553">
      <w:pPr>
        <w:pStyle w:val="ListParagraph"/>
        <w:numPr>
          <w:ilvl w:val="0"/>
          <w:numId w:val="6"/>
        </w:numPr>
      </w:pPr>
      <w:r w:rsidRPr="00E53553">
        <w:t>Përdorimi i materialeve anti-rrëshqitëse dhe të lehta për t'u pastruar në dysheme dhe rrugë trafiku.</w:t>
      </w:r>
    </w:p>
    <w:p w:rsidR="00AC3E27" w:rsidRPr="00E53553" w:rsidRDefault="00E53553" w:rsidP="00E53553">
      <w:pPr>
        <w:pStyle w:val="ListParagraph"/>
        <w:numPr>
          <w:ilvl w:val="0"/>
          <w:numId w:val="6"/>
        </w:numPr>
      </w:pPr>
      <w:r w:rsidRPr="00E53553">
        <w:t>Sigurimi i rrjedhjes së duhur të lëngjeve nga sipërfaqja e dyshemeve dhe rrugëve të trafikut</w:t>
      </w:r>
    </w:p>
    <w:p w:rsidR="00AC3E27" w:rsidRPr="00E53553" w:rsidRDefault="00AC3E27" w:rsidP="00AC3E27"/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</w:rPr>
      </w:pPr>
    </w:p>
    <w:p w:rsidR="002038E7" w:rsidRDefault="002038E7" w:rsidP="00AC3E27">
      <w:pPr>
        <w:rPr>
          <w:b/>
          <w:color w:val="2683C6" w:themeColor="accent2"/>
        </w:rPr>
      </w:pPr>
      <w:r w:rsidRPr="002038E7">
        <w:rPr>
          <w:b/>
          <w:color w:val="2683C6" w:themeColor="accent2"/>
        </w:rPr>
        <w:lastRenderedPageBreak/>
        <w:t>PJESA III: SHËNONI GJETJEN DHE REKOMANDIMIN TUAJ</w:t>
      </w:r>
      <w:r w:rsidR="00D513AF">
        <w:rPr>
          <w:b/>
          <w:color w:val="2683C6" w:themeColor="accent2"/>
        </w:rPr>
        <w:t>A</w:t>
      </w:r>
    </w:p>
    <w:p w:rsidR="00811CF5" w:rsidRDefault="00811CF5" w:rsidP="00AC3E27">
      <w:pPr>
        <w:rPr>
          <w:b/>
          <w:color w:val="2683C6" w:themeColor="accent2"/>
        </w:rPr>
      </w:pPr>
    </w:p>
    <w:tbl>
      <w:tblPr>
        <w:tblW w:w="11592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2"/>
      </w:tblGrid>
      <w:tr w:rsidR="00811CF5" w:rsidTr="00811CF5">
        <w:trPr>
          <w:trHeight w:val="12372"/>
        </w:trPr>
        <w:tc>
          <w:tcPr>
            <w:tcW w:w="11592" w:type="dxa"/>
          </w:tcPr>
          <w:p w:rsidR="00811CF5" w:rsidRDefault="00811CF5" w:rsidP="00AC3E27">
            <w:pPr>
              <w:rPr>
                <w:b/>
                <w:color w:val="2683C6" w:themeColor="accent2"/>
              </w:rPr>
            </w:pPr>
          </w:p>
        </w:tc>
      </w:tr>
    </w:tbl>
    <w:tbl>
      <w:tblPr>
        <w:tblpPr w:leftFromText="180" w:rightFromText="180" w:vertAnchor="text" w:horzAnchor="margin" w:tblpXSpec="center" w:tblpY="-1151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2"/>
      </w:tblGrid>
      <w:tr w:rsidR="00811CF5" w:rsidTr="00811CF5">
        <w:trPr>
          <w:trHeight w:val="14769"/>
        </w:trPr>
        <w:tc>
          <w:tcPr>
            <w:tcW w:w="11112" w:type="dxa"/>
          </w:tcPr>
          <w:p w:rsidR="00811CF5" w:rsidRDefault="00811CF5" w:rsidP="00811CF5">
            <w:pPr>
              <w:rPr>
                <w:b/>
                <w:color w:val="2683C6" w:themeColor="accent2"/>
              </w:rPr>
            </w:pPr>
          </w:p>
        </w:tc>
      </w:tr>
    </w:tbl>
    <w:p w:rsidR="002038E7" w:rsidRDefault="002038E7" w:rsidP="00AC3E27">
      <w:pPr>
        <w:rPr>
          <w:b/>
          <w:color w:val="2683C6" w:themeColor="accent2"/>
        </w:rPr>
      </w:pPr>
      <w:bookmarkStart w:id="0" w:name="_GoBack"/>
      <w:bookmarkEnd w:id="0"/>
    </w:p>
    <w:p w:rsidR="00AC3E27" w:rsidRDefault="00AC3E27" w:rsidP="00755C14"/>
    <w:sectPr w:rsidR="00AC3E27" w:rsidSect="00584F76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09" w:rsidRDefault="001E2309" w:rsidP="009C55AC">
      <w:r>
        <w:separator/>
      </w:r>
    </w:p>
  </w:endnote>
  <w:endnote w:type="continuationSeparator" w:id="0">
    <w:p w:rsidR="001E2309" w:rsidRDefault="001E2309" w:rsidP="009C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6A" w:rsidRDefault="00D3106A">
    <w:pPr>
      <w:pStyle w:val="Foot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</wp:posOffset>
              </wp:positionH>
              <wp:positionV relativeFrom="page">
                <wp:posOffset>14104620</wp:posOffset>
              </wp:positionV>
              <wp:extent cx="1700530" cy="1023620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06A" w:rsidRDefault="00D3106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50345A" w:rsidRPr="0050345A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2.4pt;margin-top:1110.6pt;width:133.9pt;height:80.6pt;z-index:251659264;mso-position-horizontal-relative:page;mso-position-vertical-relative:page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" fillcolor="white [3212]" stroked="f" strokeweight="1.2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8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D3106A" w:rsidRDefault="00D3106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50345A" w:rsidRPr="0050345A">
                        <w:rPr>
                          <w:noProof/>
                          <w:color w:val="FFFFFF" w:themeColor="background1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09" w:rsidRDefault="001E2309" w:rsidP="009C55AC">
      <w:r>
        <w:separator/>
      </w:r>
    </w:p>
  </w:footnote>
  <w:footnote w:type="continuationSeparator" w:id="0">
    <w:p w:rsidR="001E2309" w:rsidRDefault="001E2309" w:rsidP="009C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76" w:rsidRDefault="00E5355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61312" behindDoc="1" locked="0" layoutInCell="1" allowOverlap="0">
              <wp:simplePos x="0" y="0"/>
              <wp:positionH relativeFrom="margin">
                <wp:posOffset>-312420</wp:posOffset>
              </wp:positionH>
              <wp:positionV relativeFrom="margin">
                <wp:align>top</wp:align>
              </wp:positionV>
              <wp:extent cx="6568440" cy="723900"/>
              <wp:effectExtent l="0" t="0" r="381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8440" cy="7239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53553" w:rsidRPr="003E1A0C" w:rsidRDefault="002038E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lang w:val="en-US"/>
                                </w:rPr>
                                <w:t>LISTA</w:t>
                              </w:r>
                              <w:r w:rsidR="0050345A">
                                <w:rPr>
                                  <w:b/>
                                  <w:caps/>
                                  <w:lang w:val="en-US"/>
                                </w:rPr>
                                <w:t xml:space="preserve"> E PËRGJITHSHME</w:t>
                              </w:r>
                              <w:r>
                                <w:rPr>
                                  <w:b/>
                                  <w:caps/>
                                  <w:lang w:val="en-US"/>
                                </w:rPr>
                                <w:t xml:space="preserve"> KONTROLLUESE Nr.1                                                                                                 RREZIKU: A ËSHTË SIPËRFAQJS E TOKËS E RRESHQITSHËM APO JO E DREJTË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9" style="position:absolute;margin-left:-24.6pt;margin-top:0;width:517.2pt;height:57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top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" o:allowoverlap="f" fillcolor="#1cade4 [3204]" stroked="f" strokeweight="1.25pt">
              <v:textbox>
                <w:txbxContent>
                  <w:sdt>
                    <w:sdtPr>
                      <w:rPr>
                        <w:b/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53553" w:rsidRPr="003E1A0C" w:rsidRDefault="002038E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</w:rPr>
                        </w:pPr>
                        <w:r>
                          <w:rPr>
                            <w:b/>
                            <w:caps/>
                            <w:lang w:val="en-US"/>
                          </w:rPr>
                          <w:t>LISTA</w:t>
                        </w:r>
                        <w:r w:rsidR="0050345A">
                          <w:rPr>
                            <w:b/>
                            <w:caps/>
                            <w:lang w:val="en-US"/>
                          </w:rPr>
                          <w:t xml:space="preserve"> E PËRGJITHSHME</w:t>
                        </w:r>
                        <w:r>
                          <w:rPr>
                            <w:b/>
                            <w:caps/>
                            <w:lang w:val="en-US"/>
                          </w:rPr>
                          <w:t xml:space="preserve"> KONTROLLUESE Nr.1                                                                                                 RREZIKU: A ËSHTË SIPËRFAQJS E TOKËS E RRESHQITSHËM APO JO E DREJTË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41E"/>
    <w:multiLevelType w:val="hybridMultilevel"/>
    <w:tmpl w:val="4CCA3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0D8"/>
    <w:multiLevelType w:val="hybridMultilevel"/>
    <w:tmpl w:val="C05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62F58"/>
    <w:multiLevelType w:val="hybridMultilevel"/>
    <w:tmpl w:val="FAD2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44370"/>
    <w:rsid w:val="00096922"/>
    <w:rsid w:val="00145BCD"/>
    <w:rsid w:val="001E00C7"/>
    <w:rsid w:val="001E2309"/>
    <w:rsid w:val="002038E7"/>
    <w:rsid w:val="00224288"/>
    <w:rsid w:val="002D246E"/>
    <w:rsid w:val="002D77F2"/>
    <w:rsid w:val="003E1A0C"/>
    <w:rsid w:val="003F33E6"/>
    <w:rsid w:val="00400077"/>
    <w:rsid w:val="00490F7E"/>
    <w:rsid w:val="004B029C"/>
    <w:rsid w:val="005015A8"/>
    <w:rsid w:val="0050345A"/>
    <w:rsid w:val="00584F76"/>
    <w:rsid w:val="005B5BDB"/>
    <w:rsid w:val="005F0911"/>
    <w:rsid w:val="00605EAC"/>
    <w:rsid w:val="00630EFA"/>
    <w:rsid w:val="00685CC4"/>
    <w:rsid w:val="006958AE"/>
    <w:rsid w:val="00714FCA"/>
    <w:rsid w:val="00723E48"/>
    <w:rsid w:val="00755C14"/>
    <w:rsid w:val="0078318B"/>
    <w:rsid w:val="00783F93"/>
    <w:rsid w:val="007D6D5F"/>
    <w:rsid w:val="00811CF5"/>
    <w:rsid w:val="00815E88"/>
    <w:rsid w:val="008C42A9"/>
    <w:rsid w:val="008F71DC"/>
    <w:rsid w:val="00995B3A"/>
    <w:rsid w:val="009C55AC"/>
    <w:rsid w:val="00A531A6"/>
    <w:rsid w:val="00A53276"/>
    <w:rsid w:val="00A67142"/>
    <w:rsid w:val="00AC3E27"/>
    <w:rsid w:val="00AC7093"/>
    <w:rsid w:val="00B47B7C"/>
    <w:rsid w:val="00B95385"/>
    <w:rsid w:val="00C55C51"/>
    <w:rsid w:val="00CC3EC3"/>
    <w:rsid w:val="00CF2600"/>
    <w:rsid w:val="00D3106A"/>
    <w:rsid w:val="00D31BC6"/>
    <w:rsid w:val="00D513AF"/>
    <w:rsid w:val="00E3027F"/>
    <w:rsid w:val="00E51276"/>
    <w:rsid w:val="00E53553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B2C35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5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AC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AC"/>
    <w:rPr>
      <w:rFonts w:ascii="Times New Roman" w:eastAsia="Times New Roman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AC"/>
    <w:rPr>
      <w:rFonts w:ascii="Segoe UI" w:eastAsia="Times New Roman" w:hAnsi="Segoe UI" w:cs="Segoe UI"/>
      <w:sz w:val="18"/>
      <w:szCs w:val="18"/>
      <w:lang w:val="sq-AL" w:eastAsia="sr-Latn-CS"/>
    </w:rPr>
  </w:style>
  <w:style w:type="paragraph" w:styleId="Header">
    <w:name w:val="header"/>
    <w:basedOn w:val="Normal"/>
    <w:link w:val="HeaderChar"/>
    <w:uiPriority w:val="99"/>
    <w:unhideWhenUsed/>
    <w:rsid w:val="009C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AC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9C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AC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5AC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9C55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7093"/>
    <w:rPr>
      <w:color w:val="6B9F25" w:themeColor="hyperlink"/>
      <w:u w:val="single"/>
    </w:rPr>
  </w:style>
  <w:style w:type="table" w:styleId="TableGridLight">
    <w:name w:val="Grid Table Light"/>
    <w:basedOn w:val="TableNormal"/>
    <w:uiPriority w:val="40"/>
    <w:rsid w:val="000969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969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096922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6922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6922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09692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">
    <w:name w:val="Grid Table 2"/>
    <w:basedOn w:val="TableNormal"/>
    <w:uiPriority w:val="47"/>
    <w:rsid w:val="000969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969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4963-6B32-41B5-A3CD-1A8BC3F1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Nr.1                                                                                                 RREZIKU: A ËSHTË SIPËRFAQJS E TOKËS E RRESHQITSHËM APO JO E DREJTË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Nr.1                                                                                                 RREZIKU: A ËSHTË SIPËRFAQJS E TOKËS E RRESHQITSHËM APO JO E DREJTË</dc:title>
  <dc:subject/>
  <dc:creator>Dorentina Arifi</dc:creator>
  <cp:keywords/>
  <dc:description/>
  <cp:lastModifiedBy>Petrit S. Reka</cp:lastModifiedBy>
  <cp:revision>3</cp:revision>
  <cp:lastPrinted>2023-11-17T09:34:00Z</cp:lastPrinted>
  <dcterms:created xsi:type="dcterms:W3CDTF">2023-11-24T12:15:00Z</dcterms:created>
  <dcterms:modified xsi:type="dcterms:W3CDTF">2023-11-24T12:27:00Z</dcterms:modified>
</cp:coreProperties>
</file>